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2D87" w14:textId="1A61B9CC" w:rsid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4472C4"/>
          <w:sz w:val="36"/>
          <w:szCs w:val="36"/>
          <w:lang w:val="en-US"/>
        </w:rPr>
      </w:pPr>
      <w:r w:rsidRPr="00D33AAE">
        <w:rPr>
          <w:b/>
          <w:color w:val="4472C4"/>
          <w:sz w:val="36"/>
          <w:szCs w:val="36"/>
          <w:lang w:val="en-US"/>
        </w:rPr>
        <w:t xml:space="preserve">Patient outcomes definition guide for </w:t>
      </w:r>
      <w:r w:rsidR="00D33AAE" w:rsidRPr="00D33AAE">
        <w:rPr>
          <w:b/>
          <w:color w:val="4472C4"/>
          <w:sz w:val="36"/>
          <w:szCs w:val="36"/>
          <w:lang w:val="en-US"/>
        </w:rPr>
        <w:t>LASOS</w:t>
      </w:r>
      <w:r w:rsidR="00D33AAE">
        <w:rPr>
          <w:b/>
          <w:color w:val="4472C4"/>
          <w:sz w:val="36"/>
          <w:szCs w:val="36"/>
          <w:lang w:val="en-US"/>
        </w:rPr>
        <w:t>:</w:t>
      </w:r>
    </w:p>
    <w:p w14:paraId="29DC749E" w14:textId="77777777" w:rsidR="00D33AAE" w:rsidRPr="00D33AAE" w:rsidRDefault="00D33AAE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4472C4"/>
          <w:sz w:val="32"/>
          <w:szCs w:val="32"/>
          <w:lang w:val="en-US"/>
        </w:rPr>
      </w:pPr>
      <w:r w:rsidRPr="00D33AAE">
        <w:rPr>
          <w:b/>
          <w:color w:val="4472C4"/>
          <w:sz w:val="32"/>
          <w:szCs w:val="32"/>
          <w:lang w:val="en-US"/>
        </w:rPr>
        <w:t xml:space="preserve">Latin American </w:t>
      </w:r>
      <w:r w:rsidR="00B21F08" w:rsidRPr="00D33AAE">
        <w:rPr>
          <w:b/>
          <w:color w:val="4472C4"/>
          <w:sz w:val="32"/>
          <w:szCs w:val="32"/>
          <w:lang w:val="en-US"/>
        </w:rPr>
        <w:t>Surgical Outcomes Study</w:t>
      </w:r>
    </w:p>
    <w:p w14:paraId="0C06CF88" w14:textId="77777777" w:rsidR="00D33AAE" w:rsidRDefault="00D33AAE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4472C4"/>
          <w:sz w:val="36"/>
          <w:szCs w:val="36"/>
          <w:lang w:val="en-US"/>
        </w:rPr>
      </w:pPr>
    </w:p>
    <w:p w14:paraId="6BE07434" w14:textId="09729690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4472C4"/>
          <w:sz w:val="24"/>
          <w:szCs w:val="24"/>
          <w:lang w:val="en-US"/>
        </w:rPr>
      </w:pPr>
      <w:r w:rsidRPr="00D33AAE">
        <w:rPr>
          <w:b/>
          <w:color w:val="4472C4"/>
          <w:sz w:val="24"/>
          <w:szCs w:val="24"/>
          <w:lang w:val="en-US"/>
        </w:rPr>
        <w:t>Definitions and grading of complications</w:t>
      </w:r>
    </w:p>
    <w:p w14:paraId="6461CCBD" w14:textId="77777777" w:rsidR="00D33AAE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"/>
        <w:jc w:val="both"/>
        <w:rPr>
          <w:rFonts w:ascii="Calibri" w:hAnsi="Calibri"/>
          <w:color w:val="000000"/>
          <w:sz w:val="21"/>
          <w:szCs w:val="21"/>
          <w:lang w:val="en-US"/>
        </w:rPr>
      </w:pPr>
      <w:r w:rsidRPr="00DA63A0">
        <w:rPr>
          <w:rFonts w:ascii="Calibri" w:hAnsi="Calibri"/>
          <w:color w:val="000000"/>
          <w:sz w:val="21"/>
          <w:szCs w:val="21"/>
          <w:lang w:val="en-US"/>
        </w:rPr>
        <w:t xml:space="preserve">The following definitions and gradings are provided for guidance where the nature and severity of a possible complication following surgery is uncertain. </w:t>
      </w:r>
    </w:p>
    <w:p w14:paraId="0BAE2EA9" w14:textId="77777777" w:rsidR="00DA63A0" w:rsidRDefault="00DA63A0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"/>
        <w:jc w:val="both"/>
        <w:rPr>
          <w:b/>
          <w:color w:val="4472C4"/>
          <w:sz w:val="20"/>
          <w:szCs w:val="20"/>
          <w:lang w:val="en-US"/>
        </w:rPr>
      </w:pPr>
    </w:p>
    <w:p w14:paraId="6A9D4609" w14:textId="31FD7AE9" w:rsidR="00DA63A0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"/>
        <w:jc w:val="both"/>
        <w:rPr>
          <w:rFonts w:ascii="Calibri" w:hAnsi="Calibri"/>
          <w:b/>
          <w:color w:val="4472C4"/>
          <w:sz w:val="20"/>
          <w:szCs w:val="20"/>
          <w:lang w:val="en-US"/>
        </w:rPr>
      </w:pPr>
      <w:r w:rsidRPr="00DA63A0">
        <w:rPr>
          <w:rFonts w:ascii="Calibri" w:hAnsi="Calibri"/>
          <w:b/>
          <w:color w:val="4472C4"/>
          <w:sz w:val="20"/>
          <w:szCs w:val="20"/>
          <w:lang w:val="en-US"/>
        </w:rPr>
        <w:t xml:space="preserve">Acute Kidney Injury (AKI) </w:t>
      </w:r>
    </w:p>
    <w:tbl>
      <w:tblPr>
        <w:tblStyle w:val="a"/>
        <w:tblW w:w="92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7"/>
        <w:gridCol w:w="5483"/>
        <w:gridCol w:w="2659"/>
      </w:tblGrid>
      <w:tr w:rsidR="0006406C" w:rsidRPr="00D33AAE" w14:paraId="2BD9DD8A" w14:textId="77777777" w:rsidTr="00D33AAE">
        <w:trPr>
          <w:trHeight w:val="201"/>
        </w:trPr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261D" w14:textId="77777777" w:rsidR="0006406C" w:rsidRPr="00D33AAE" w:rsidRDefault="00B21F08" w:rsidP="00DA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D33AAE">
              <w:rPr>
                <w:rFonts w:ascii="Calibri" w:hAnsi="Calibri"/>
                <w:b/>
                <w:color w:val="000000"/>
                <w:sz w:val="20"/>
                <w:szCs w:val="20"/>
              </w:rPr>
              <w:t>Stage</w:t>
            </w:r>
            <w:proofErr w:type="spellEnd"/>
            <w:r w:rsidRPr="00D33AA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1DBE" w14:textId="77777777" w:rsidR="0006406C" w:rsidRPr="00D33AAE" w:rsidRDefault="00B21F08" w:rsidP="00DA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 w:rsidRPr="00D33AAE">
              <w:rPr>
                <w:rFonts w:ascii="Calibri" w:hAnsi="Calibri"/>
                <w:b/>
                <w:color w:val="000000"/>
                <w:sz w:val="20"/>
                <w:szCs w:val="20"/>
              </w:rPr>
              <w:t>Serum</w:t>
            </w:r>
            <w:proofErr w:type="spellEnd"/>
            <w:r w:rsidRPr="00D33AA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AAE">
              <w:rPr>
                <w:rFonts w:ascii="Calibri" w:hAnsi="Calibri"/>
                <w:b/>
                <w:color w:val="000000"/>
                <w:sz w:val="20"/>
                <w:szCs w:val="20"/>
              </w:rPr>
              <w:t>creatinine</w:t>
            </w:r>
            <w:proofErr w:type="spellEnd"/>
            <w:r w:rsidRPr="00D33AA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01D9" w14:textId="77777777" w:rsidR="0006406C" w:rsidRPr="00D33AAE" w:rsidRDefault="00B21F08" w:rsidP="00DA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D33AAE">
              <w:rPr>
                <w:rFonts w:ascii="Calibri" w:hAnsi="Calibri"/>
                <w:b/>
                <w:color w:val="000000"/>
                <w:sz w:val="20"/>
                <w:szCs w:val="20"/>
              </w:rPr>
              <w:t>Urine output</w:t>
            </w:r>
          </w:p>
        </w:tc>
      </w:tr>
      <w:tr w:rsidR="0006406C" w:rsidRPr="005A3B83" w14:paraId="2A614D1C" w14:textId="77777777" w:rsidTr="00D33AAE">
        <w:trPr>
          <w:trHeight w:val="183"/>
        </w:trPr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CCC6" w14:textId="77777777" w:rsidR="0006406C" w:rsidRPr="00D33AAE" w:rsidRDefault="00B21F08" w:rsidP="00DA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33AAE">
              <w:rPr>
                <w:rFonts w:ascii="Calibri" w:hAnsi="Calibri"/>
                <w:color w:val="000000"/>
                <w:sz w:val="20"/>
                <w:szCs w:val="20"/>
              </w:rPr>
              <w:t>Mild</w:t>
            </w:r>
            <w:proofErr w:type="spellEnd"/>
          </w:p>
        </w:tc>
        <w:tc>
          <w:tcPr>
            <w:tcW w:w="5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0B960" w14:textId="77777777" w:rsidR="0006406C" w:rsidRPr="00D33AAE" w:rsidRDefault="00B21F08" w:rsidP="00DA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6"/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3AAE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US"/>
              </w:rPr>
              <w:t>Increase of 1.5-1.9 times baseline value within 7 days or ≥0.3mg/dL (30 µmol/L) within 48 hours</w:t>
            </w:r>
          </w:p>
        </w:tc>
        <w:tc>
          <w:tcPr>
            <w:tcW w:w="2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4B80" w14:textId="77777777" w:rsidR="0006406C" w:rsidRPr="00D33AAE" w:rsidRDefault="00B21F08" w:rsidP="00DA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"/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3AAE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US"/>
              </w:rPr>
              <w:t>≤0.5 ml/kg/h for 6-</w:t>
            </w:r>
            <w:proofErr w:type="gramStart"/>
            <w:r w:rsidRPr="00D33AAE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US"/>
              </w:rPr>
              <w:t>12  hours</w:t>
            </w:r>
            <w:proofErr w:type="gramEnd"/>
          </w:p>
        </w:tc>
      </w:tr>
      <w:tr w:rsidR="0006406C" w:rsidRPr="005A3B83" w14:paraId="1A3A14E2" w14:textId="77777777" w:rsidTr="00D33AAE">
        <w:trPr>
          <w:trHeight w:val="281"/>
        </w:trPr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7FC51" w14:textId="77777777" w:rsidR="0006406C" w:rsidRPr="00D33AAE" w:rsidRDefault="00B21F08" w:rsidP="00DA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33AAE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  <w:proofErr w:type="spellEnd"/>
            <w:r w:rsidRPr="00D33AA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A4C4" w14:textId="77777777" w:rsidR="0006406C" w:rsidRPr="00D33AAE" w:rsidRDefault="00B21F08" w:rsidP="00DA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3AA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Increase of 2.0-2.9 times baseline value within 7 days </w:t>
            </w:r>
          </w:p>
        </w:tc>
        <w:tc>
          <w:tcPr>
            <w:tcW w:w="2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B811" w14:textId="77777777" w:rsidR="0006406C" w:rsidRPr="00D33AAE" w:rsidRDefault="00B21F08" w:rsidP="00DA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3AAE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US"/>
              </w:rPr>
              <w:t>≤0.5 ml/kg/h for 12 hours</w:t>
            </w:r>
          </w:p>
        </w:tc>
      </w:tr>
      <w:tr w:rsidR="0006406C" w:rsidRPr="00D33AAE" w14:paraId="523CD312" w14:textId="77777777" w:rsidTr="00D33AAE">
        <w:trPr>
          <w:trHeight w:val="670"/>
        </w:trPr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D820" w14:textId="77777777" w:rsidR="0006406C" w:rsidRPr="00D33AAE" w:rsidRDefault="00B21F08" w:rsidP="00DA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33AAE">
              <w:rPr>
                <w:rFonts w:ascii="Calibri" w:hAnsi="Calibri"/>
                <w:color w:val="000000"/>
                <w:sz w:val="20"/>
                <w:szCs w:val="20"/>
              </w:rPr>
              <w:t>Severe</w:t>
            </w:r>
            <w:proofErr w:type="spellEnd"/>
          </w:p>
        </w:tc>
        <w:tc>
          <w:tcPr>
            <w:tcW w:w="54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1C0A" w14:textId="1DDD60D0" w:rsidR="0006406C" w:rsidRPr="00D33AAE" w:rsidRDefault="00B21F08" w:rsidP="00DA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"/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3AAE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US"/>
              </w:rPr>
              <w:t xml:space="preserve">Increase of 3.0 times baseline within 7 days or increase in serum creatinine to ≥4.0 mg/dL (≥350 µmol/L) with an acute rise of &gt;0.5 mg/dL (&gt;50 µmol/L) or </w:t>
            </w:r>
            <w:proofErr w:type="spellStart"/>
            <w:r w:rsidRPr="00D33AAE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US"/>
              </w:rPr>
              <w:t>iInitiation</w:t>
            </w:r>
            <w:proofErr w:type="spellEnd"/>
            <w:r w:rsidRPr="00D33AAE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US"/>
              </w:rPr>
              <w:t xml:space="preserve"> of renal replacement therapy</w:t>
            </w:r>
          </w:p>
        </w:tc>
        <w:tc>
          <w:tcPr>
            <w:tcW w:w="26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925D" w14:textId="77777777" w:rsidR="0006406C" w:rsidRPr="00D33AAE" w:rsidRDefault="00B21F08" w:rsidP="00DA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2"/>
              <w:jc w:val="both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3AAE">
              <w:rPr>
                <w:rFonts w:ascii="Calibri" w:eastAsia="Arial Unicode MS" w:hAnsi="Calibri" w:cs="Arial Unicode MS"/>
                <w:color w:val="000000"/>
                <w:sz w:val="20"/>
                <w:szCs w:val="20"/>
                <w:lang w:val="en-US"/>
              </w:rPr>
              <w:t xml:space="preserve">≤0.3 ml/kg/h for 24 hours or </w:t>
            </w:r>
          </w:p>
          <w:p w14:paraId="6466AE62" w14:textId="77777777" w:rsidR="0006406C" w:rsidRPr="00D33AAE" w:rsidRDefault="00B21F08" w:rsidP="00DA6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33AAE">
              <w:rPr>
                <w:rFonts w:ascii="Calibri" w:hAnsi="Calibri"/>
                <w:color w:val="000000"/>
                <w:sz w:val="20"/>
                <w:szCs w:val="20"/>
              </w:rPr>
              <w:t>Anuria</w:t>
            </w:r>
            <w:proofErr w:type="spellEnd"/>
            <w:r w:rsidRPr="00D33AAE">
              <w:rPr>
                <w:rFonts w:ascii="Calibri" w:hAnsi="Calibri"/>
                <w:color w:val="000000"/>
                <w:sz w:val="20"/>
                <w:szCs w:val="20"/>
              </w:rPr>
              <w:t xml:space="preserve"> for 12 hours</w:t>
            </w:r>
          </w:p>
        </w:tc>
      </w:tr>
    </w:tbl>
    <w:p w14:paraId="273CA8F4" w14:textId="77777777" w:rsidR="0006406C" w:rsidRPr="00D33AAE" w:rsidRDefault="0006406C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</w:rPr>
      </w:pPr>
    </w:p>
    <w:p w14:paraId="793743C1" w14:textId="41A90177" w:rsid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Guidance: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Baseline serum creatinine must be measured before </w:t>
      </w:r>
      <w:r w:rsidR="000A2744" w:rsidRPr="00D33AAE">
        <w:rPr>
          <w:rFonts w:ascii="Calibri" w:hAnsi="Calibri"/>
          <w:color w:val="000000"/>
          <w:sz w:val="20"/>
          <w:szCs w:val="20"/>
          <w:lang w:val="en-US"/>
        </w:rPr>
        <w:t>surgery,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but an estimated value can be used if the patient does not have chronic kidney disease.</w:t>
      </w:r>
    </w:p>
    <w:p w14:paraId="3C771226" w14:textId="77777777" w:rsidR="00D33AAE" w:rsidRPr="00D33AAE" w:rsidRDefault="00D33AAE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14:paraId="2263ADE9" w14:textId="77777777" w:rsidR="00D33AAE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4472C4"/>
          <w:sz w:val="20"/>
          <w:szCs w:val="20"/>
          <w:lang w:val="en-US"/>
        </w:rPr>
        <w:t xml:space="preserve">Acute Respiratory Distress Syndrome (ARDS) </w:t>
      </w:r>
    </w:p>
    <w:p w14:paraId="2A9F1DA3" w14:textId="1E6CAC69" w:rsid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Respiratory failure, or new or worsening respiratory symptoms, commencing within one week of surgery; and a chest radiograph or computed tomography scan which </w:t>
      </w:r>
      <w:r w:rsidR="000A2744">
        <w:rPr>
          <w:rFonts w:ascii="Calibri" w:hAnsi="Calibri"/>
          <w:color w:val="000000"/>
          <w:sz w:val="20"/>
          <w:szCs w:val="20"/>
          <w:lang w:val="en-US"/>
        </w:rPr>
        <w:t xml:space="preserve">demonstrates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>bilateral opacities not fully explained by effusions, lobar/lung collapse, or nodules; and respiratory failure not fully explained by cardiac failure or fluid overload. Need objective assessment (</w:t>
      </w:r>
      <w:proofErr w:type="gramStart"/>
      <w:r w:rsidRPr="00D33AAE">
        <w:rPr>
          <w:rFonts w:ascii="Calibri" w:hAnsi="Calibri"/>
          <w:color w:val="000000"/>
          <w:sz w:val="20"/>
          <w:szCs w:val="20"/>
          <w:lang w:val="en-US"/>
        </w:rPr>
        <w:t>e.g.</w:t>
      </w:r>
      <w:proofErr w:type="gram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echocardiography) to exclude hydrostatic oedema if no risk factor present.</w:t>
      </w:r>
    </w:p>
    <w:p w14:paraId="64C8DCDF" w14:textId="77777777" w:rsidR="005B6F42" w:rsidRDefault="005B6F42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</w:p>
    <w:p w14:paraId="0704F7CF" w14:textId="26A360E4" w:rsidR="0006406C" w:rsidRP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163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 grading: </w:t>
      </w:r>
    </w:p>
    <w:p w14:paraId="64A367AF" w14:textId="77777777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166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Mild: PaO</w:t>
      </w:r>
      <w:r w:rsidRPr="00DA63A0">
        <w:rPr>
          <w:rFonts w:ascii="Calibri" w:hAnsi="Calibri"/>
          <w:i/>
          <w:iCs/>
          <w:color w:val="000000"/>
          <w:sz w:val="20"/>
          <w:szCs w:val="20"/>
          <w:vertAlign w:val="subscript"/>
          <w:lang w:val="en-US"/>
        </w:rPr>
        <w:t>2</w:t>
      </w: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:FiO</w:t>
      </w:r>
      <w:r w:rsidRPr="00DA63A0">
        <w:rPr>
          <w:rFonts w:ascii="Calibri" w:hAnsi="Calibri"/>
          <w:i/>
          <w:iCs/>
          <w:color w:val="000000"/>
          <w:sz w:val="20"/>
          <w:szCs w:val="20"/>
          <w:vertAlign w:val="subscript"/>
          <w:lang w:val="en-US"/>
        </w:rPr>
        <w:t xml:space="preserve">2 </w:t>
      </w:r>
      <w:r w:rsidRPr="00DA63A0">
        <w:rPr>
          <w:rFonts w:ascii="Calibri" w:eastAsia="Arial Unicode MS" w:hAnsi="Calibri" w:cs="Arial Unicode MS"/>
          <w:i/>
          <w:iCs/>
          <w:color w:val="000000"/>
          <w:sz w:val="20"/>
          <w:szCs w:val="20"/>
          <w:lang w:val="en-US"/>
        </w:rPr>
        <w:t>between 200 and 300 mmHg with PEEP or CPAP ≥5 cmH</w:t>
      </w:r>
      <w:r w:rsidRPr="00DA63A0">
        <w:rPr>
          <w:rFonts w:ascii="Calibri" w:hAnsi="Calibri"/>
          <w:i/>
          <w:iCs/>
          <w:color w:val="000000"/>
          <w:sz w:val="20"/>
          <w:szCs w:val="20"/>
          <w:vertAlign w:val="subscript"/>
          <w:lang w:val="en-US"/>
        </w:rPr>
        <w:t>2</w:t>
      </w: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O Moderate: PaO</w:t>
      </w:r>
      <w:r w:rsidRPr="00DA63A0">
        <w:rPr>
          <w:rFonts w:ascii="Calibri" w:hAnsi="Calibri"/>
          <w:i/>
          <w:iCs/>
          <w:color w:val="000000"/>
          <w:sz w:val="20"/>
          <w:szCs w:val="20"/>
          <w:vertAlign w:val="subscript"/>
          <w:lang w:val="en-US"/>
        </w:rPr>
        <w:t>2</w:t>
      </w: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:FiO</w:t>
      </w:r>
      <w:r w:rsidRPr="00DA63A0">
        <w:rPr>
          <w:rFonts w:ascii="Calibri" w:hAnsi="Calibri"/>
          <w:i/>
          <w:iCs/>
          <w:color w:val="000000"/>
          <w:sz w:val="20"/>
          <w:szCs w:val="20"/>
          <w:vertAlign w:val="subscript"/>
          <w:lang w:val="en-US"/>
        </w:rPr>
        <w:t xml:space="preserve">2 </w:t>
      </w:r>
      <w:r w:rsidRPr="00DA63A0">
        <w:rPr>
          <w:rFonts w:ascii="Calibri" w:eastAsia="Arial Unicode MS" w:hAnsi="Calibri" w:cs="Arial Unicode MS"/>
          <w:i/>
          <w:iCs/>
          <w:color w:val="000000"/>
          <w:sz w:val="20"/>
          <w:szCs w:val="20"/>
          <w:lang w:val="en-US"/>
        </w:rPr>
        <w:t>between 100 and 200 mmHg with PEEP ≥5 cmH</w:t>
      </w:r>
      <w:r w:rsidRPr="00DA63A0">
        <w:rPr>
          <w:rFonts w:ascii="Calibri" w:hAnsi="Calibri"/>
          <w:i/>
          <w:iCs/>
          <w:color w:val="000000"/>
          <w:sz w:val="20"/>
          <w:szCs w:val="20"/>
          <w:vertAlign w:val="subscript"/>
          <w:lang w:val="en-US"/>
        </w:rPr>
        <w:t>2</w:t>
      </w: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O Severe: PaO</w:t>
      </w:r>
      <w:r w:rsidRPr="00DA63A0">
        <w:rPr>
          <w:rFonts w:ascii="Calibri" w:hAnsi="Calibri"/>
          <w:i/>
          <w:iCs/>
          <w:color w:val="000000"/>
          <w:sz w:val="20"/>
          <w:szCs w:val="20"/>
          <w:vertAlign w:val="subscript"/>
          <w:lang w:val="en-US"/>
        </w:rPr>
        <w:t>2</w:t>
      </w: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:FiO</w:t>
      </w:r>
      <w:r w:rsidRPr="00DA63A0">
        <w:rPr>
          <w:rFonts w:ascii="Calibri" w:hAnsi="Calibri"/>
          <w:i/>
          <w:iCs/>
          <w:color w:val="000000"/>
          <w:sz w:val="20"/>
          <w:szCs w:val="20"/>
          <w:vertAlign w:val="subscript"/>
          <w:lang w:val="en-US"/>
        </w:rPr>
        <w:t xml:space="preserve">2 </w:t>
      </w:r>
      <w:r w:rsidRPr="00DA63A0">
        <w:rPr>
          <w:rFonts w:ascii="Calibri" w:eastAsia="Arial Unicode MS" w:hAnsi="Calibri" w:cs="Arial Unicode MS"/>
          <w:i/>
          <w:iCs/>
          <w:color w:val="000000"/>
          <w:sz w:val="20"/>
          <w:szCs w:val="20"/>
          <w:lang w:val="en-US"/>
        </w:rPr>
        <w:t>≤100 mmHg with PEEP ≥5 cmH</w:t>
      </w:r>
      <w:r w:rsidRPr="00DA63A0">
        <w:rPr>
          <w:rFonts w:ascii="Calibri" w:hAnsi="Calibri"/>
          <w:i/>
          <w:iCs/>
          <w:color w:val="000000"/>
          <w:sz w:val="20"/>
          <w:szCs w:val="20"/>
          <w:vertAlign w:val="subscript"/>
          <w:lang w:val="en-US"/>
        </w:rPr>
        <w:t>2</w:t>
      </w: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O </w:t>
      </w:r>
    </w:p>
    <w:p w14:paraId="6E5C5181" w14:textId="77777777" w:rsidR="005B6F42" w:rsidRDefault="005B6F42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30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</w:p>
    <w:p w14:paraId="5B708209" w14:textId="08CE533F" w:rsidR="00D33AAE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Guidance: </w:t>
      </w:r>
    </w:p>
    <w:p w14:paraId="24BFE418" w14:textId="4E9BE5FE" w:rsidR="00D33AAE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>If altitude is higher than 1000 m, a correction factor should be calculated as follows: (PaO</w:t>
      </w:r>
      <w:r w:rsidRPr="00D33AAE">
        <w:rPr>
          <w:rFonts w:ascii="Calibri" w:hAnsi="Calibri"/>
          <w:color w:val="000000"/>
          <w:sz w:val="20"/>
          <w:szCs w:val="20"/>
          <w:vertAlign w:val="subscript"/>
          <w:lang w:val="en-US"/>
        </w:rPr>
        <w:t>2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>:FiO</w:t>
      </w:r>
      <w:r w:rsidRPr="00D33AAE">
        <w:rPr>
          <w:rFonts w:ascii="Calibri" w:hAnsi="Calibri"/>
          <w:color w:val="000000"/>
          <w:sz w:val="20"/>
          <w:szCs w:val="20"/>
          <w:vertAlign w:val="subscript"/>
          <w:lang w:val="en-US"/>
        </w:rPr>
        <w:t xml:space="preserve">2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x [barometric pressure/760 mmHg]). PEEP,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postive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end-expiratory pressure; CPAP, non-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invaisve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continuous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postive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airways pressure</w:t>
      </w:r>
    </w:p>
    <w:p w14:paraId="769BB1F0" w14:textId="77777777" w:rsidR="00DA63A0" w:rsidRDefault="00DA63A0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4472C4"/>
          <w:sz w:val="20"/>
          <w:szCs w:val="20"/>
          <w:lang w:val="en-US"/>
        </w:rPr>
      </w:pPr>
    </w:p>
    <w:p w14:paraId="08FF48C6" w14:textId="53FB9BFA" w:rsidR="00D33AAE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4472C4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4472C4"/>
          <w:sz w:val="20"/>
          <w:szCs w:val="20"/>
          <w:lang w:val="en-US"/>
        </w:rPr>
        <w:t xml:space="preserve">Anastomotic leak </w:t>
      </w:r>
    </w:p>
    <w:p w14:paraId="58FB1BB4" w14:textId="213A4631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4472C4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Leak of luminal contents from a surgical connection between two hollow viscera. The luminal contents may emerge either through the wound or at the drain site, or they may collect </w:t>
      </w:r>
      <w:r w:rsidR="000A2744" w:rsidRPr="00D33AAE">
        <w:rPr>
          <w:rFonts w:ascii="Calibri" w:hAnsi="Calibri"/>
          <w:color w:val="000000"/>
          <w:sz w:val="20"/>
          <w:szCs w:val="20"/>
          <w:lang w:val="en-US"/>
        </w:rPr>
        <w:t>near the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anastomosis, causing fever, abscess,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septicaemia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>, metabolic disturbance and/</w:t>
      </w:r>
      <w:r w:rsidR="000A2744" w:rsidRPr="00D33AAE">
        <w:rPr>
          <w:rFonts w:ascii="Calibri" w:hAnsi="Calibri"/>
          <w:color w:val="000000"/>
          <w:sz w:val="20"/>
          <w:szCs w:val="20"/>
          <w:lang w:val="en-US"/>
        </w:rPr>
        <w:t>or multiple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-organ failure. The escape of luminal contents from the site of the anastomosis </w:t>
      </w:r>
      <w:r w:rsidR="000A2744" w:rsidRPr="00D33AAE">
        <w:rPr>
          <w:rFonts w:ascii="Calibri" w:hAnsi="Calibri"/>
          <w:color w:val="000000"/>
          <w:sz w:val="20"/>
          <w:szCs w:val="20"/>
          <w:lang w:val="en-US"/>
        </w:rPr>
        <w:t>into an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adjacent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localised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area, detected by imaging, in the absence of clinical symptoms </w:t>
      </w:r>
      <w:r w:rsidR="000A2744" w:rsidRPr="00D33AAE">
        <w:rPr>
          <w:rFonts w:ascii="Calibri" w:hAnsi="Calibri"/>
          <w:color w:val="000000"/>
          <w:sz w:val="20"/>
          <w:szCs w:val="20"/>
          <w:lang w:val="en-US"/>
        </w:rPr>
        <w:t>and signs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should be recorded as a sub-clinical leak. </w:t>
      </w:r>
    </w:p>
    <w:p w14:paraId="7DE04CED" w14:textId="77777777" w:rsidR="005B6F42" w:rsidRDefault="005B6F42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</w:p>
    <w:p w14:paraId="5CB6E798" w14:textId="66AFB5DA" w:rsid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 grading: </w:t>
      </w:r>
    </w:p>
    <w:p w14:paraId="00BBAC24" w14:textId="3AC7929B" w:rsidR="00DA63A0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Mild: Results in only temporary harm and would not usually require specific clinical treatment.</w:t>
      </w:r>
    </w:p>
    <w:p w14:paraId="76B08AE8" w14:textId="7C38D02A" w:rsidR="00D33AAE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Moderate: More serious complication but one which does not usually result in permanent harm or functional limitation. Usually requires clinical treatment.</w:t>
      </w:r>
    </w:p>
    <w:p w14:paraId="1C91B8D1" w14:textId="41FC042B" w:rsidR="00D33AAE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Severe: Results in significant prolongation of hospital stay and/or permanent functional limitation or death. Almost always requires clinical treatment.</w:t>
      </w:r>
    </w:p>
    <w:p w14:paraId="3E0050AC" w14:textId="77777777" w:rsidR="00DA63A0" w:rsidRDefault="00DA63A0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</w:p>
    <w:p w14:paraId="61D73F21" w14:textId="155020A0" w:rsidR="00D33AAE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70C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70C0"/>
          <w:sz w:val="20"/>
          <w:szCs w:val="20"/>
          <w:lang w:val="en-US"/>
        </w:rPr>
        <w:t xml:space="preserve">Arrhythmia  </w:t>
      </w:r>
    </w:p>
    <w:p w14:paraId="6874828D" w14:textId="77777777" w:rsidR="00D33AAE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Electrocardiograph (ECG) evidence of cardiac rhythm disturbance. </w:t>
      </w:r>
    </w:p>
    <w:p w14:paraId="1B46D5B5" w14:textId="23AABF2A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 grading:  </w:t>
      </w:r>
    </w:p>
    <w:p w14:paraId="078134D5" w14:textId="77777777" w:rsidR="0006406C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lastRenderedPageBreak/>
        <w:t xml:space="preserve">Mild: Results in only temporary harm and would not usually require specific clinical treatment. </w:t>
      </w:r>
    </w:p>
    <w:p w14:paraId="02D48C13" w14:textId="44A67C51" w:rsidR="0006406C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Moderate: More serious complication but one which does not usually result in permanent harm or functional limitation. Usually requires clinical treatment.  </w:t>
      </w:r>
    </w:p>
    <w:p w14:paraId="2DD11ADD" w14:textId="6E3D6707" w:rsidR="00D33AAE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Severe: Results in significant prolongation of hospital stay and/or permanent functional limitation or death. Almost always requires clinical treatment.</w:t>
      </w:r>
    </w:p>
    <w:p w14:paraId="0E2127C7" w14:textId="77777777" w:rsidR="00D33AAE" w:rsidRPr="00D33AAE" w:rsidRDefault="00D33AAE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14:paraId="7413332C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70C0"/>
          <w:sz w:val="20"/>
          <w:szCs w:val="20"/>
          <w:lang w:val="en-US"/>
        </w:rPr>
        <w:t xml:space="preserve">Cardiac arrest  </w:t>
      </w:r>
    </w:p>
    <w:p w14:paraId="1F9F0FAE" w14:textId="62E15DE1" w:rsidR="0006406C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The cessation of cardiac mechanical activity, as confirmed by the absence of signs of circulation. ECG changes may corroborate the incidence of cardiac arrest. </w:t>
      </w:r>
    </w:p>
    <w:p w14:paraId="7ADB7DCA" w14:textId="77777777" w:rsidR="005B6F42" w:rsidRPr="00D33AAE" w:rsidRDefault="005B6F42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14:paraId="749C654A" w14:textId="023C734A" w:rsidR="00D33AAE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 grading: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>None</w:t>
      </w:r>
    </w:p>
    <w:p w14:paraId="18BAEF82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70C0"/>
          <w:sz w:val="20"/>
          <w:szCs w:val="20"/>
          <w:lang w:val="en-US"/>
        </w:rPr>
        <w:t xml:space="preserve">Pulmonary oedema </w:t>
      </w:r>
    </w:p>
    <w:p w14:paraId="5682FACF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Evidence of fluid accumulation in the alveoli due to poor cardiac function. </w:t>
      </w:r>
    </w:p>
    <w:p w14:paraId="79DCB3F5" w14:textId="77777777" w:rsidR="0006406C" w:rsidRP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 grading: </w:t>
      </w:r>
    </w:p>
    <w:p w14:paraId="22F0B943" w14:textId="77777777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Mild: Results in only temporary harm and would not usually require specific clinical treatment. </w:t>
      </w:r>
    </w:p>
    <w:p w14:paraId="0800118A" w14:textId="5C456B97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Moderate: More serious complication but one which does not usually result in permanent harm or functional limitation. Usually requires clinical treatment. </w:t>
      </w:r>
    </w:p>
    <w:p w14:paraId="05AD9894" w14:textId="31BEFB4C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3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Severe: Results in significant prolongation of hospital stay and/or permanent functional limitation or death. Almost always requires clinical treatment.</w:t>
      </w:r>
    </w:p>
    <w:p w14:paraId="660FABBE" w14:textId="77777777" w:rsidR="00D33AAE" w:rsidRDefault="00D33AAE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14:paraId="1B348FC4" w14:textId="2EE6C491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70C0"/>
          <w:sz w:val="20"/>
          <w:szCs w:val="20"/>
          <w:lang w:val="en-US"/>
        </w:rPr>
        <w:t xml:space="preserve">Gastro-intestinal bleed </w:t>
      </w:r>
    </w:p>
    <w:p w14:paraId="4A7C23E0" w14:textId="2AFCAD59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Unambiguous clinical or endoscopic evidence of blood in the gastro-intestinal tract. Upper gastrointestinal bleeding is that originates from the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oesophagus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, stomach and duodenum. Lower gastro-intestinal bleeding originates from the small bowel and colon. </w:t>
      </w:r>
    </w:p>
    <w:p w14:paraId="177921C4" w14:textId="77777777" w:rsidR="0006406C" w:rsidRP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Severity:  </w:t>
      </w:r>
    </w:p>
    <w:p w14:paraId="1D112A6E" w14:textId="77777777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Mild: Results in only temporary harm and would not usually require specific clinical treatment. </w:t>
      </w:r>
    </w:p>
    <w:p w14:paraId="369589B7" w14:textId="0C3D6948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Moderate: More serious complication but one which does not usually result in </w:t>
      </w:r>
      <w:r w:rsidR="000A2744"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permanent harm</w:t>
      </w: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 or functional limitation. Usually requires clinical treatment. </w:t>
      </w:r>
    </w:p>
    <w:p w14:paraId="21D0FD76" w14:textId="7B98F0DC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3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Severe: Results in significant prolongation of hospital stay and/or permanent </w:t>
      </w:r>
      <w:r w:rsidR="000A2744"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functional limitation</w:t>
      </w: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 or death. Almost always requires clinical treatment.</w:t>
      </w:r>
    </w:p>
    <w:p w14:paraId="4E89224E" w14:textId="77777777" w:rsidR="00DA63A0" w:rsidRDefault="00DA63A0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</w:p>
    <w:p w14:paraId="1A8A8EB1" w14:textId="2D23B951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70C0"/>
          <w:sz w:val="20"/>
          <w:szCs w:val="20"/>
          <w:lang w:val="en-US"/>
        </w:rPr>
        <w:t xml:space="preserve">Bloodstream infection </w:t>
      </w:r>
    </w:p>
    <w:p w14:paraId="5090E761" w14:textId="51690A5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An infection which is not related to infection at another site and which meets either of </w:t>
      </w:r>
      <w:r w:rsidR="000A2744" w:rsidRPr="00D33AAE">
        <w:rPr>
          <w:rFonts w:ascii="Calibri" w:hAnsi="Calibri"/>
          <w:color w:val="000000"/>
          <w:sz w:val="20"/>
          <w:szCs w:val="20"/>
          <w:lang w:val="en-US"/>
        </w:rPr>
        <w:t>the following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criteria:  </w:t>
      </w:r>
    </w:p>
    <w:p w14:paraId="62094E3A" w14:textId="3A17CC51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1) Patient has a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recognised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pathogen cultured from blood cultures which is not related </w:t>
      </w:r>
      <w:r w:rsidR="000A2744" w:rsidRPr="00D33AAE">
        <w:rPr>
          <w:rFonts w:ascii="Calibri" w:hAnsi="Calibri"/>
          <w:color w:val="000000"/>
          <w:sz w:val="20"/>
          <w:szCs w:val="20"/>
          <w:lang w:val="en-US"/>
        </w:rPr>
        <w:t>to an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infection at another site </w:t>
      </w:r>
    </w:p>
    <w:p w14:paraId="1A0AE6AE" w14:textId="1E379E9A" w:rsidR="0006406C" w:rsidRP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right="42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2) Patient has at least one of the following signs or symptoms: fever (&gt;38°C), chills, or hypotension and at least one of the following:  </w:t>
      </w:r>
    </w:p>
    <w:p w14:paraId="2F40725C" w14:textId="56CC3849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a) common skin contaminant cultured from two or more blood cultures drawn on separate occasions </w:t>
      </w:r>
    </w:p>
    <w:p w14:paraId="56700265" w14:textId="7398272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b) common skin contaminant cultured from at least one blood culture from a patient with an intravascular line, and a physician starts antimicrobial therapy </w:t>
      </w:r>
    </w:p>
    <w:p w14:paraId="2218C7C4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c) positive blood antigen test  </w:t>
      </w:r>
    </w:p>
    <w:p w14:paraId="2BB47356" w14:textId="77777777" w:rsidR="0006406C" w:rsidRP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Severity:  </w:t>
      </w:r>
    </w:p>
    <w:p w14:paraId="44B96882" w14:textId="77777777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Mild: Results in only temporary harm and would not usually require specific clinical treatment. </w:t>
      </w:r>
    </w:p>
    <w:p w14:paraId="17EB1AE5" w14:textId="3A930008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Moderate: More serious complication but one which does not usually result in permanent harm or functional limitation. Usually requires clinical treatment. </w:t>
      </w:r>
    </w:p>
    <w:p w14:paraId="31738A99" w14:textId="69E3EC42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2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Severe: Results in significant prolongation of hospital stay and/or permanent functional limitation or death. Almost always requires clinical treatment.</w:t>
      </w:r>
    </w:p>
    <w:p w14:paraId="3898ED65" w14:textId="3A4F1494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6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</w:p>
    <w:p w14:paraId="42607AE0" w14:textId="77777777" w:rsidR="0006406C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  <w:r w:rsidRPr="00DA63A0">
        <w:rPr>
          <w:rFonts w:ascii="Calibri" w:hAnsi="Calibri"/>
          <w:b/>
          <w:color w:val="0070C0"/>
          <w:sz w:val="20"/>
          <w:szCs w:val="20"/>
          <w:lang w:val="en-US"/>
        </w:rPr>
        <w:t xml:space="preserve">Myocardial infarction </w:t>
      </w:r>
    </w:p>
    <w:p w14:paraId="0A56C576" w14:textId="67EB941D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>Increase in serum cardiac biomarker values (preferably cardiac troponin) with at least one value above the 99</w:t>
      </w:r>
      <w:r w:rsidRPr="00D33AAE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 xml:space="preserve">th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percentile upper reference limit and at least one of the following criteria: </w:t>
      </w:r>
      <w:r w:rsidRPr="00D33AAE">
        <w:rPr>
          <w:rFonts w:ascii="Calibri" w:eastAsia="Noto Sans Symbols" w:hAnsi="Calibri" w:cs="Noto Sans Symbols"/>
          <w:color w:val="000000"/>
          <w:sz w:val="20"/>
          <w:szCs w:val="20"/>
          <w:lang w:val="en-US"/>
        </w:rPr>
        <w:t xml:space="preserve">∙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Symptoms of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ischaemia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</w:p>
    <w:p w14:paraId="3DE1EA6D" w14:textId="62189B09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eastAsia="Noto Sans Symbols" w:hAnsi="Calibri" w:cs="Noto Sans Symbols"/>
          <w:color w:val="000000"/>
          <w:sz w:val="20"/>
          <w:szCs w:val="20"/>
          <w:lang w:val="en-US"/>
        </w:rPr>
        <w:t xml:space="preserve">∙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New or presumed new ST-segment or T-wave ECG changes or new left bundle branch block  </w:t>
      </w:r>
    </w:p>
    <w:p w14:paraId="1EEB3808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eastAsia="Noto Sans Symbols" w:hAnsi="Calibri" w:cs="Noto Sans Symbols"/>
          <w:color w:val="000000"/>
          <w:sz w:val="20"/>
          <w:szCs w:val="20"/>
          <w:lang w:val="en-US"/>
        </w:rPr>
        <w:t xml:space="preserve">∙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Development of pathological Q-waves on ECG </w:t>
      </w:r>
    </w:p>
    <w:p w14:paraId="40D15BFB" w14:textId="4E064883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eastAsia="Noto Sans Symbols" w:hAnsi="Calibri" w:cs="Noto Sans Symbols"/>
          <w:color w:val="000000"/>
          <w:sz w:val="20"/>
          <w:szCs w:val="20"/>
          <w:lang w:val="en-US"/>
        </w:rPr>
        <w:t xml:space="preserve">∙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Radiological or echocardiographic evidence of new loss of viable myocardium or new regional wall motion abnormality </w:t>
      </w:r>
    </w:p>
    <w:p w14:paraId="3AC27431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eastAsia="Noto Sans Symbols" w:hAnsi="Calibri" w:cs="Noto Sans Symbols"/>
          <w:color w:val="000000"/>
          <w:sz w:val="20"/>
          <w:szCs w:val="20"/>
          <w:lang w:val="en-US"/>
        </w:rPr>
        <w:t xml:space="preserve">∙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Identification of an intra-coronary thrombus at angiography or autopsy </w:t>
      </w:r>
    </w:p>
    <w:p w14:paraId="50F044A1" w14:textId="77777777" w:rsidR="0006406C" w:rsidRP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 grading: </w:t>
      </w:r>
    </w:p>
    <w:p w14:paraId="2C85C39C" w14:textId="77777777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Mild: Results in only temporary harm and would not usually require specific clinical treatment. </w:t>
      </w:r>
    </w:p>
    <w:p w14:paraId="22ADF976" w14:textId="3474FE6F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Moderate: More serious complication but one which does not usually result in permanent harm or functional </w:t>
      </w: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lastRenderedPageBreak/>
        <w:t xml:space="preserve">limitation. Usually requires clinical treatment. </w:t>
      </w:r>
    </w:p>
    <w:p w14:paraId="0747E9C7" w14:textId="21B014CA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38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Severe: Results in significant prolongation of hospital stay and/or permanent functional limitation or death. Almost always requires clinical treatment.</w:t>
      </w:r>
    </w:p>
    <w:p w14:paraId="3CD9CC7A" w14:textId="77777777" w:rsidR="00DA63A0" w:rsidRDefault="00DA63A0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14:paraId="63AE4246" w14:textId="06D53834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b/>
          <w:color w:val="0070C0"/>
          <w:sz w:val="20"/>
          <w:szCs w:val="20"/>
          <w:lang w:val="en-US"/>
        </w:rPr>
        <w:t>Pneumonia</w:t>
      </w: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  </w:t>
      </w:r>
    </w:p>
    <w:p w14:paraId="2F315A43" w14:textId="7B1A408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Chest radiographs with new or progressive and persistent infiltrates, or consolidation, or cavitation, and at least one of the following:  </w:t>
      </w:r>
    </w:p>
    <w:p w14:paraId="13608639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a) fever (&gt;38°C) with no other recognized cause </w:t>
      </w:r>
    </w:p>
    <w:p w14:paraId="7909EFED" w14:textId="392A6F42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b)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leucopaenia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(&lt;4,000 white blood cells/mm</w:t>
      </w:r>
      <w:r w:rsidRPr="00D33AAE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3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) or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leucocytosis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(&gt;12,000 white blood cells/mm</w:t>
      </w:r>
      <w:r w:rsidRPr="00D33AAE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3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) </w:t>
      </w:r>
    </w:p>
    <w:p w14:paraId="0D465248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79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c) for adults &gt;70 years old, altered mental status with no other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recognised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cause …and at least two of the following: </w:t>
      </w:r>
    </w:p>
    <w:p w14:paraId="5DCF5F4F" w14:textId="2BFB0654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eastAsia="Noto Sans Symbols" w:hAnsi="Calibri" w:cs="Noto Sans Symbols"/>
          <w:color w:val="000000"/>
          <w:sz w:val="20"/>
          <w:szCs w:val="20"/>
          <w:lang w:val="en-US"/>
        </w:rPr>
        <w:t xml:space="preserve">∙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new onset of purulent sputum or change in character of sputum, or increased respiratory secretions, or increased suctioning requirements </w:t>
      </w:r>
    </w:p>
    <w:p w14:paraId="77883AA7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eastAsia="Noto Sans Symbols" w:hAnsi="Calibri" w:cs="Noto Sans Symbols"/>
          <w:color w:val="000000"/>
          <w:sz w:val="20"/>
          <w:szCs w:val="20"/>
          <w:lang w:val="en-US"/>
        </w:rPr>
        <w:t xml:space="preserve">∙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new onset or worsening cough, or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dyspnoea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, or tachypnoea </w:t>
      </w:r>
    </w:p>
    <w:p w14:paraId="403F1A85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eastAsia="Noto Sans Symbols" w:hAnsi="Calibri" w:cs="Noto Sans Symbols"/>
          <w:color w:val="000000"/>
          <w:sz w:val="20"/>
          <w:szCs w:val="20"/>
          <w:lang w:val="en-US"/>
        </w:rPr>
        <w:t xml:space="preserve">∙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rales or bronchial breath sounds </w:t>
      </w:r>
    </w:p>
    <w:p w14:paraId="4FE931EA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eastAsia="Noto Sans Symbols" w:hAnsi="Calibri" w:cs="Noto Sans Symbols"/>
          <w:color w:val="000000"/>
          <w:sz w:val="20"/>
          <w:szCs w:val="20"/>
          <w:lang w:val="en-US"/>
        </w:rPr>
        <w:t xml:space="preserve">∙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worsening gas exchange (hypoxia, increased oxygen or ventilator demand) </w:t>
      </w:r>
    </w:p>
    <w:p w14:paraId="402CB06E" w14:textId="5BD3E94B" w:rsidR="0006406C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>Guidance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: Two radiographs are required for patients with underlying pulmonary or cardiac disease. The definition may be used to identify ventilator associated pneumonia. </w:t>
      </w:r>
    </w:p>
    <w:p w14:paraId="6BA9C167" w14:textId="77777777" w:rsidR="005B6F42" w:rsidRPr="00D33AAE" w:rsidRDefault="005B6F42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14:paraId="0D793E4F" w14:textId="56A634F4" w:rsidR="0006406C" w:rsidRP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Severity:  </w:t>
      </w:r>
    </w:p>
    <w:p w14:paraId="7F582813" w14:textId="77777777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Mild: Results in only temporary harm and would not usually require specific clinical treatment. </w:t>
      </w:r>
    </w:p>
    <w:p w14:paraId="740656C3" w14:textId="4DE8DC9A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Moderate: More serious complication but one which does not usually result in permanent harm or functional limitation. Usually requires clinical treatment. </w:t>
      </w:r>
    </w:p>
    <w:p w14:paraId="323B6C67" w14:textId="0DD6DBDB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Severe: Results in significant prolongation of hospital stay and/or permanent functional limitation or death. Almost always requires clinical treatment.</w:t>
      </w:r>
    </w:p>
    <w:p w14:paraId="533D16BB" w14:textId="77777777" w:rsidR="00DA63A0" w:rsidRPr="00D33AAE" w:rsidRDefault="00DA63A0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14:paraId="025A13EB" w14:textId="77777777" w:rsidR="0006406C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  <w:r w:rsidRPr="00DA63A0">
        <w:rPr>
          <w:rFonts w:ascii="Calibri" w:hAnsi="Calibri"/>
          <w:b/>
          <w:color w:val="0070C0"/>
          <w:sz w:val="20"/>
          <w:szCs w:val="20"/>
          <w:lang w:val="en-US"/>
        </w:rPr>
        <w:t xml:space="preserve">Post-operative </w:t>
      </w:r>
      <w:proofErr w:type="spellStart"/>
      <w:r w:rsidRPr="00DA63A0">
        <w:rPr>
          <w:rFonts w:ascii="Calibri" w:hAnsi="Calibri"/>
          <w:b/>
          <w:color w:val="0070C0"/>
          <w:sz w:val="20"/>
          <w:szCs w:val="20"/>
          <w:lang w:val="en-US"/>
        </w:rPr>
        <w:t>haemorrhage</w:t>
      </w:r>
      <w:proofErr w:type="spellEnd"/>
      <w:r w:rsidRPr="00DA63A0">
        <w:rPr>
          <w:rFonts w:ascii="Calibri" w:hAnsi="Calibri"/>
          <w:b/>
          <w:color w:val="0070C0"/>
          <w:sz w:val="20"/>
          <w:szCs w:val="20"/>
          <w:lang w:val="en-US"/>
        </w:rPr>
        <w:t xml:space="preserve"> </w:t>
      </w:r>
    </w:p>
    <w:p w14:paraId="54BAC57C" w14:textId="06BD23EC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Blood loss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occuring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within 72 hours after the end of surgery which would normally result in transfusion of blood. Gastro-intestinal bleeding is defined above. </w:t>
      </w:r>
    </w:p>
    <w:p w14:paraId="1C36F8D9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Severity:  </w:t>
      </w:r>
    </w:p>
    <w:p w14:paraId="03F55C4D" w14:textId="77777777" w:rsidR="0006406C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Mild: Not applicable </w:t>
      </w:r>
    </w:p>
    <w:p w14:paraId="76E2A3AD" w14:textId="2117D387" w:rsidR="0006406C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Moderate: More serious complication but one which does not usually result in permanent harm or functional limitation. Usually requires clinical treatment.  </w:t>
      </w:r>
    </w:p>
    <w:p w14:paraId="6B684309" w14:textId="2A1A9DC3" w:rsidR="00DA63A0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Severe: Results in significant prolongation of hospital stay and/or permanent functional limitation or death. Almost always requires clinical treatment.</w:t>
      </w:r>
    </w:p>
    <w:p w14:paraId="5DCF1D8D" w14:textId="77777777" w:rsidR="00DA63A0" w:rsidRDefault="00DA63A0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</w:p>
    <w:p w14:paraId="01566CF0" w14:textId="7DF5E7EB" w:rsidR="0006406C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  <w:r w:rsidRPr="00DA63A0">
        <w:rPr>
          <w:rFonts w:ascii="Calibri" w:hAnsi="Calibri"/>
          <w:b/>
          <w:color w:val="0070C0"/>
          <w:sz w:val="20"/>
          <w:szCs w:val="20"/>
          <w:lang w:val="en-US"/>
        </w:rPr>
        <w:t xml:space="preserve">Pulmonary embolism (PE) </w:t>
      </w:r>
    </w:p>
    <w:p w14:paraId="6B9DE2C4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A new blood clot or thrombus within the pulmonary arterial system. </w:t>
      </w:r>
    </w:p>
    <w:p w14:paraId="23116028" w14:textId="50EB8580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Guidance: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Appropriate diagnostic tests include scintigraphy and CT angiography. Plasma D dimer measurement is not recommended as a diagnostic test in the first three weeks </w:t>
      </w:r>
      <w:r w:rsidR="009D2BE8">
        <w:rPr>
          <w:rFonts w:ascii="Calibri" w:hAnsi="Calibri"/>
          <w:color w:val="000000"/>
          <w:sz w:val="20"/>
          <w:szCs w:val="20"/>
          <w:lang w:val="en-US"/>
        </w:rPr>
        <w:t>f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ollowing surgery.  </w:t>
      </w:r>
    </w:p>
    <w:p w14:paraId="6CA2B393" w14:textId="77777777" w:rsidR="0006406C" w:rsidRP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Severity:  </w:t>
      </w:r>
    </w:p>
    <w:p w14:paraId="38CFEE76" w14:textId="77777777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Mild: Results in only temporary harm and would not usually require specific clinical treatment. </w:t>
      </w:r>
    </w:p>
    <w:p w14:paraId="1BFBF99D" w14:textId="7963E026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Moderate: More serious complication but one which does not usually result in permanent harm or functional limitation. Usually requires clinical treatment. </w:t>
      </w:r>
    </w:p>
    <w:p w14:paraId="2CA3C039" w14:textId="5F1CCCD7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37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Severe: Results in significant prolongation of hospital stay and/or permanent functional limitation or death. Almost always requires clinical treatment.</w:t>
      </w:r>
    </w:p>
    <w:p w14:paraId="58B1683A" w14:textId="77777777" w:rsidR="00DA63A0" w:rsidRDefault="00DA63A0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</w:p>
    <w:p w14:paraId="42F0DE60" w14:textId="19E09B45" w:rsidR="0006406C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  <w:r w:rsidRPr="00DA63A0">
        <w:rPr>
          <w:rFonts w:ascii="Calibri" w:hAnsi="Calibri"/>
          <w:b/>
          <w:color w:val="0070C0"/>
          <w:sz w:val="20"/>
          <w:szCs w:val="20"/>
          <w:lang w:val="en-US"/>
        </w:rPr>
        <w:t xml:space="preserve">Stroke </w:t>
      </w:r>
    </w:p>
    <w:p w14:paraId="2D8FE8EF" w14:textId="2F9AB75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Embolic, thrombotic, or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haemorrhagic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cerebral event with persistent residual motor, sensory,</w:t>
      </w:r>
      <w:r w:rsidR="000A2744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>or cognitive dysfunction (</w:t>
      </w:r>
      <w:proofErr w:type="gramStart"/>
      <w:r w:rsidRPr="00D33AAE">
        <w:rPr>
          <w:rFonts w:ascii="Calibri" w:hAnsi="Calibri"/>
          <w:color w:val="000000"/>
          <w:sz w:val="20"/>
          <w:szCs w:val="20"/>
          <w:lang w:val="en-US"/>
        </w:rPr>
        <w:t>e.g.</w:t>
      </w:r>
      <w:proofErr w:type="gram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hemiplegia, hemiparesis, aphasia, sensory deficit, </w:t>
      </w:r>
      <w:r w:rsidR="000A2744" w:rsidRPr="00D33AAE">
        <w:rPr>
          <w:rFonts w:ascii="Calibri" w:hAnsi="Calibri"/>
          <w:color w:val="000000"/>
          <w:sz w:val="20"/>
          <w:szCs w:val="20"/>
          <w:lang w:val="en-US"/>
        </w:rPr>
        <w:t>impaired memory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).  </w:t>
      </w:r>
    </w:p>
    <w:p w14:paraId="04E7ED6C" w14:textId="77777777" w:rsidR="0006406C" w:rsidRP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Severity:  </w:t>
      </w:r>
    </w:p>
    <w:p w14:paraId="508BFE7B" w14:textId="77777777" w:rsidR="0006406C" w:rsidRPr="009D2BE8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9D2BE8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Mild: Results in only temporary harm and would not usually require specific clinical treatment. </w:t>
      </w:r>
    </w:p>
    <w:p w14:paraId="25AEA202" w14:textId="3CAF0719" w:rsidR="0006406C" w:rsidRPr="009D2BE8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9D2BE8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Moderate: More serious complication but one which does not usually result in permanent harm or functional limitation. Usually requires clinical treatment. </w:t>
      </w:r>
    </w:p>
    <w:p w14:paraId="3789DABA" w14:textId="527EC9DB" w:rsidR="0006406C" w:rsidRPr="009D2BE8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38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9D2BE8">
        <w:rPr>
          <w:rFonts w:ascii="Calibri" w:hAnsi="Calibri"/>
          <w:i/>
          <w:iCs/>
          <w:color w:val="000000"/>
          <w:sz w:val="20"/>
          <w:szCs w:val="20"/>
          <w:lang w:val="en-US"/>
        </w:rPr>
        <w:t>Severe: Results in significant prolongation of hospital stay and/or permanent functional limitation or death. Almost always requires clinical treatment.</w:t>
      </w:r>
    </w:p>
    <w:p w14:paraId="5BCD8C94" w14:textId="77777777" w:rsidR="00DA63A0" w:rsidRPr="00D33AAE" w:rsidRDefault="00DA63A0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14:paraId="7E495008" w14:textId="77777777" w:rsidR="0006406C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  <w:r w:rsidRPr="00DA63A0">
        <w:rPr>
          <w:rFonts w:ascii="Calibri" w:hAnsi="Calibri"/>
          <w:b/>
          <w:color w:val="0070C0"/>
          <w:sz w:val="20"/>
          <w:szCs w:val="20"/>
          <w:lang w:val="en-US"/>
        </w:rPr>
        <w:t xml:space="preserve">Surgical site infection (superficial) </w:t>
      </w:r>
    </w:p>
    <w:p w14:paraId="5D9042BC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79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Infection involving only superficial surgical incision which meets the following criteria:  1) Infection occurs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lastRenderedPageBreak/>
        <w:t xml:space="preserve">within 30 days after surgery and  </w:t>
      </w:r>
    </w:p>
    <w:p w14:paraId="025CFBA5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2) Involves only skin and sub-cutaneous tissues of the incision and </w:t>
      </w:r>
    </w:p>
    <w:p w14:paraId="442E9825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3) The patient has at least one of the following: </w:t>
      </w:r>
    </w:p>
    <w:p w14:paraId="4A8FADEB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a) purulent drainage from the superficial incision  </w:t>
      </w:r>
    </w:p>
    <w:p w14:paraId="4CEF7E6E" w14:textId="0912DC9A" w:rsidR="0006406C" w:rsidRPr="00D33AAE" w:rsidRDefault="00B21F08" w:rsidP="000A27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b) organisms isolated from an aseptically obtained culture of fluid or tissue from </w:t>
      </w:r>
      <w:r w:rsidR="000A2744" w:rsidRPr="00D33AAE">
        <w:rPr>
          <w:rFonts w:ascii="Calibri" w:hAnsi="Calibri"/>
          <w:color w:val="000000"/>
          <w:sz w:val="20"/>
          <w:szCs w:val="20"/>
          <w:lang w:val="en-US"/>
        </w:rPr>
        <w:t>the superficial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incision and at least one of the following signs or symptoms of infection:  pain or tenderness, localized swelling, redness, or heat, or superficial incision </w:t>
      </w:r>
      <w:r w:rsidR="000A2744" w:rsidRPr="00D33AAE">
        <w:rPr>
          <w:rFonts w:ascii="Calibri" w:hAnsi="Calibri"/>
          <w:color w:val="000000"/>
          <w:sz w:val="20"/>
          <w:szCs w:val="20"/>
          <w:lang w:val="en-US"/>
        </w:rPr>
        <w:t>is deliberately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opened by surgeon and is culture positive or not cultured. A culture negative finding does not meet this criterion. </w:t>
      </w:r>
    </w:p>
    <w:p w14:paraId="1AD21775" w14:textId="6133049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c) diagnosis of </w:t>
      </w:r>
      <w:r w:rsidR="000A2744" w:rsidRPr="00D33AAE">
        <w:rPr>
          <w:rFonts w:ascii="Calibri" w:hAnsi="Calibri"/>
          <w:color w:val="000000"/>
          <w:sz w:val="20"/>
          <w:szCs w:val="20"/>
          <w:lang w:val="en-US"/>
        </w:rPr>
        <w:t>an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incisional surgical site infection by a surgeon or attending physician </w:t>
      </w:r>
    </w:p>
    <w:p w14:paraId="08DAA0A6" w14:textId="77777777" w:rsidR="0006406C" w:rsidRP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Severity:  </w:t>
      </w:r>
    </w:p>
    <w:p w14:paraId="4651BC2C" w14:textId="77777777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Mild: Results in only temporary harm and would not usually require specific clinical treatment. </w:t>
      </w:r>
    </w:p>
    <w:p w14:paraId="48ACC2D8" w14:textId="7D44108F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Moderate: More serious complication but one which does not usually result in permanent harm or functional limitation. Usually requires clinical treatment. </w:t>
      </w:r>
    </w:p>
    <w:p w14:paraId="762A3A80" w14:textId="5175B4A7" w:rsidR="00DA63A0" w:rsidRPr="005B6F42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36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Severe: Results in significant prolongation of hospital stay and/or permanent functional limitation or death. Almost always requires clinical treatment.</w:t>
      </w:r>
    </w:p>
    <w:p w14:paraId="4150DFCB" w14:textId="77777777" w:rsidR="005B6F42" w:rsidRDefault="005B6F42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</w:p>
    <w:p w14:paraId="1DB38AAF" w14:textId="2BA057B1" w:rsidR="0006406C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  <w:r w:rsidRPr="00DA63A0">
        <w:rPr>
          <w:rFonts w:ascii="Calibri" w:hAnsi="Calibri"/>
          <w:b/>
          <w:color w:val="0070C0"/>
          <w:sz w:val="20"/>
          <w:szCs w:val="20"/>
          <w:lang w:val="en-US"/>
        </w:rPr>
        <w:t xml:space="preserve">Surgical site infection (deep) </w:t>
      </w:r>
    </w:p>
    <w:p w14:paraId="0BDC283B" w14:textId="6C0CEFD8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An infection which involves both superficial and deep parts of surgical incision and meets the following criteria:  </w:t>
      </w:r>
    </w:p>
    <w:p w14:paraId="18000BF2" w14:textId="475A0FE1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4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1) Infection occurs within 30 days after surgery if no surgical implant is left in place or one year if an implant is in place and  </w:t>
      </w:r>
    </w:p>
    <w:p w14:paraId="54D6F258" w14:textId="651FFF7B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>2) The infection appears to be related to the surgical procedure and involves deep soft tissues of the incision (</w:t>
      </w:r>
      <w:proofErr w:type="gramStart"/>
      <w:r w:rsidRPr="00D33AAE">
        <w:rPr>
          <w:rFonts w:ascii="Calibri" w:hAnsi="Calibri"/>
          <w:color w:val="000000"/>
          <w:sz w:val="20"/>
          <w:szCs w:val="20"/>
          <w:lang w:val="en-US"/>
        </w:rPr>
        <w:t>e.g.</w:t>
      </w:r>
      <w:proofErr w:type="gram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fascial and muscle layers) and </w:t>
      </w:r>
    </w:p>
    <w:p w14:paraId="551BF2FC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3) The patient has at least one of the following: </w:t>
      </w:r>
    </w:p>
    <w:p w14:paraId="2C457F4C" w14:textId="64611090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a) purulent drainage from the deep incision but not from the organ/space component of the surgical site </w:t>
      </w:r>
    </w:p>
    <w:p w14:paraId="0131409C" w14:textId="6109E3EB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b) a deep incision spontaneously dehisces or is deliberately opened by a surgeon and is culture-positive or no cultures were taken whilst the patient has at least one of the following signs or symptoms of infection: fever (&gt;38°C) or localized pain or tenderness. A culture-negative finding does not meet this criterion. </w:t>
      </w:r>
    </w:p>
    <w:p w14:paraId="59884469" w14:textId="4586D799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c) an abscess or other evidence of infection involving the deep incision is found on direct examination, during surgery, or by histopathologic or radiologic examination d) diagnosis of a deep incisional surgical site infection by a surgeon or attending physician </w:t>
      </w:r>
    </w:p>
    <w:p w14:paraId="5BB562A2" w14:textId="77777777" w:rsidR="0006406C" w:rsidRP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Severity:  </w:t>
      </w:r>
    </w:p>
    <w:p w14:paraId="5895DB22" w14:textId="77777777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Mild: Results in only temporary harm and would not usually require specific clinical treatment. </w:t>
      </w:r>
    </w:p>
    <w:p w14:paraId="080491FA" w14:textId="1C85575D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Moderate: More serious complication but one which does not usually result in </w:t>
      </w:r>
      <w:r w:rsidR="000A2744"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permanent harm</w:t>
      </w: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 or functional limitation. Usually requires clinical treatment.  </w:t>
      </w:r>
    </w:p>
    <w:p w14:paraId="3260E981" w14:textId="53799852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2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Severe: Results in significant prolongation of hospital stay and/or permanent functional limitation or death. Almost always requires clinical treatment.</w:t>
      </w:r>
    </w:p>
    <w:p w14:paraId="7302B509" w14:textId="77777777" w:rsidR="00DA63A0" w:rsidRPr="00DA63A0" w:rsidRDefault="00DA63A0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</w:p>
    <w:p w14:paraId="1F58F15C" w14:textId="77777777" w:rsidR="0006406C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  <w:r w:rsidRPr="00DA63A0">
        <w:rPr>
          <w:rFonts w:ascii="Calibri" w:hAnsi="Calibri"/>
          <w:b/>
          <w:color w:val="0070C0"/>
          <w:sz w:val="20"/>
          <w:szCs w:val="20"/>
          <w:lang w:val="en-US"/>
        </w:rPr>
        <w:t xml:space="preserve">Surgical site infection (organ/space)  </w:t>
      </w:r>
    </w:p>
    <w:p w14:paraId="32301669" w14:textId="7B90703F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>An infection which involves any part of the body excluding the fascia or muscle layers and</w:t>
      </w:r>
      <w:r w:rsidR="00DA63A0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meets the following criteria:  </w:t>
      </w:r>
    </w:p>
    <w:p w14:paraId="79D898A0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1) Infection occurs within 30 days after surgery and </w:t>
      </w:r>
    </w:p>
    <w:p w14:paraId="05643434" w14:textId="299CE296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2) The infection appears to be related to the surgical procedure and involves any part of the body, excluding the skin incision, fascia, or muscle layers, that is opened or </w:t>
      </w:r>
      <w:r w:rsidR="000A2744" w:rsidRPr="00D33AAE">
        <w:rPr>
          <w:rFonts w:ascii="Calibri" w:hAnsi="Calibri"/>
          <w:color w:val="000000"/>
          <w:sz w:val="20"/>
          <w:szCs w:val="20"/>
          <w:lang w:val="en-US"/>
        </w:rPr>
        <w:t>manipulated during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the operative procedure and </w:t>
      </w:r>
    </w:p>
    <w:p w14:paraId="70336EF4" w14:textId="77777777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3) The patient has at least one of the following: </w:t>
      </w:r>
    </w:p>
    <w:p w14:paraId="00346C19" w14:textId="63114883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a) purulent drainage from a drain that is placed through a stab wound into the organ/space </w:t>
      </w:r>
    </w:p>
    <w:p w14:paraId="7623AC75" w14:textId="2917A4B4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2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b) organisms isolated from an aseptically obtained culture of fluid or tissue in the organ/ space </w:t>
      </w:r>
    </w:p>
    <w:p w14:paraId="519BF93E" w14:textId="7FD77688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c) an abscess or other evidence of infection involving the organ/space that is found on direct examination, during reoperation, or by histopathologic or radiologic examination </w:t>
      </w:r>
    </w:p>
    <w:p w14:paraId="67B5A799" w14:textId="74CB1C61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d) diagnosis of an organ/space surgical site infection by a surgeon or attending physician </w:t>
      </w:r>
    </w:p>
    <w:p w14:paraId="3EEB7DE3" w14:textId="77777777" w:rsidR="0006406C" w:rsidRP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Severity:  </w:t>
      </w:r>
    </w:p>
    <w:p w14:paraId="6B49371E" w14:textId="77777777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Mild: Results in only temporary harm and would not usually require specific clinical treatment. </w:t>
      </w:r>
    </w:p>
    <w:p w14:paraId="72D468F0" w14:textId="0EB88A82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38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Moderate: More serious complication but one which does not usually result in permanent</w:t>
      </w:r>
      <w:r w:rsidR="009D2BE8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 </w:t>
      </w: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harm or functional limitation. Usually requires clinical treatment.  </w:t>
      </w:r>
    </w:p>
    <w:p w14:paraId="59CAC6E2" w14:textId="14D04ADA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3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Severe: Results in significant prolongation of hospital stay and/or permanent functional limitation or death. Almost always requires clinical treatment.</w:t>
      </w:r>
    </w:p>
    <w:p w14:paraId="68270775" w14:textId="77777777" w:rsidR="00DA63A0" w:rsidRDefault="00DA63A0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14:paraId="242AD6B9" w14:textId="49E8197F" w:rsidR="0006406C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  <w:r w:rsidRPr="00DA63A0">
        <w:rPr>
          <w:rFonts w:ascii="Calibri" w:hAnsi="Calibri"/>
          <w:b/>
          <w:color w:val="0070C0"/>
          <w:sz w:val="20"/>
          <w:szCs w:val="20"/>
          <w:lang w:val="en-US"/>
        </w:rPr>
        <w:t xml:space="preserve">Urinary tract infection  </w:t>
      </w:r>
    </w:p>
    <w:p w14:paraId="1A7C3C72" w14:textId="51C4EC2E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An infection associated with at least one of the following signs or symptoms which should be identified within a </w:t>
      </w:r>
      <w:r w:rsidR="000A2744" w:rsidRPr="00D33AAE">
        <w:rPr>
          <w:rFonts w:ascii="Calibri" w:hAnsi="Calibri"/>
          <w:color w:val="000000"/>
          <w:sz w:val="20"/>
          <w:szCs w:val="20"/>
          <w:lang w:val="en-US"/>
        </w:rPr>
        <w:t>24-hour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period:  </w:t>
      </w:r>
    </w:p>
    <w:p w14:paraId="2B278E99" w14:textId="68446636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lastRenderedPageBreak/>
        <w:t xml:space="preserve">Fever (&gt;38 °C), urgency, frequency, dysuria, suprapubic tenderness, costovertebral angle pain or tenderness with no other </w:t>
      </w:r>
      <w:proofErr w:type="spellStart"/>
      <w:r w:rsidRPr="00D33AAE">
        <w:rPr>
          <w:rFonts w:ascii="Calibri" w:hAnsi="Calibri"/>
          <w:color w:val="000000"/>
          <w:sz w:val="20"/>
          <w:szCs w:val="20"/>
          <w:lang w:val="en-US"/>
        </w:rPr>
        <w:t>recognised</w:t>
      </w:r>
      <w:proofErr w:type="spellEnd"/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cause  </w:t>
      </w:r>
    </w:p>
    <w:p w14:paraId="27964B5D" w14:textId="0AA58712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eastAsia="Arial Unicode MS" w:hAnsi="Calibri" w:cs="Arial Unicode MS"/>
          <w:color w:val="000000"/>
          <w:sz w:val="20"/>
          <w:szCs w:val="20"/>
          <w:lang w:val="en-US"/>
        </w:rPr>
        <w:t>and a positive urine culture of ≥10</w:t>
      </w:r>
      <w:r w:rsidRPr="00D33AAE">
        <w:rPr>
          <w:rFonts w:ascii="Calibri" w:hAnsi="Calibri"/>
          <w:color w:val="000000"/>
          <w:sz w:val="20"/>
          <w:szCs w:val="20"/>
          <w:vertAlign w:val="superscript"/>
          <w:lang w:val="en-US"/>
        </w:rPr>
        <w:t>5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colony forming units/mL with no more than two species of microorganisms. </w:t>
      </w:r>
    </w:p>
    <w:p w14:paraId="4BD60913" w14:textId="77777777" w:rsidR="0006406C" w:rsidRPr="00D33AAE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Severity:  </w:t>
      </w:r>
    </w:p>
    <w:p w14:paraId="6D26F305" w14:textId="77777777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Mild: Results in only temporary harm and would not usually require specific clinical treatment. </w:t>
      </w:r>
    </w:p>
    <w:p w14:paraId="0A45EDD9" w14:textId="0B3B664E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0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 xml:space="preserve">Moderate: More serious complication but one which does not usually result in permanent harm or functional limitation. Usually requires clinical treatment. </w:t>
      </w:r>
    </w:p>
    <w:p w14:paraId="37C24804" w14:textId="06EC0160" w:rsidR="0006406C" w:rsidRPr="00DA63A0" w:rsidRDefault="00B21F08" w:rsidP="005B6F4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BE5F1" w:themeFill="accent1" w:themeFillTint="33"/>
        <w:spacing w:line="240" w:lineRule="auto"/>
        <w:ind w:right="43"/>
        <w:jc w:val="both"/>
        <w:rPr>
          <w:rFonts w:ascii="Calibri" w:hAnsi="Calibri"/>
          <w:i/>
          <w:iCs/>
          <w:color w:val="000000"/>
          <w:sz w:val="20"/>
          <w:szCs w:val="20"/>
          <w:lang w:val="en-US"/>
        </w:rPr>
      </w:pPr>
      <w:r w:rsidRPr="00DA63A0">
        <w:rPr>
          <w:rFonts w:ascii="Calibri" w:hAnsi="Calibri"/>
          <w:i/>
          <w:iCs/>
          <w:color w:val="000000"/>
          <w:sz w:val="20"/>
          <w:szCs w:val="20"/>
          <w:lang w:val="en-US"/>
        </w:rPr>
        <w:t>Severe: Results in significant prolongation of hospital stay and/or permanent functional limitation or death. Almost always requires clinical treatment.</w:t>
      </w:r>
    </w:p>
    <w:p w14:paraId="4BCC091C" w14:textId="77777777" w:rsidR="00DA63A0" w:rsidRDefault="00DA63A0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14:paraId="5BA4B100" w14:textId="3C560A0A" w:rsidR="0006406C" w:rsidRPr="00DA63A0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/>
          <w:b/>
          <w:color w:val="0070C0"/>
          <w:sz w:val="20"/>
          <w:szCs w:val="20"/>
          <w:lang w:val="en-US"/>
        </w:rPr>
      </w:pPr>
      <w:r w:rsidRPr="00DA63A0">
        <w:rPr>
          <w:rFonts w:ascii="Calibri" w:hAnsi="Calibri"/>
          <w:b/>
          <w:color w:val="0070C0"/>
          <w:sz w:val="20"/>
          <w:szCs w:val="20"/>
          <w:lang w:val="en-US"/>
        </w:rPr>
        <w:t xml:space="preserve">Treatment for post-operative complications </w:t>
      </w:r>
    </w:p>
    <w:p w14:paraId="58272770" w14:textId="26FD6F3B" w:rsidR="0006406C" w:rsidRPr="00D33AAE" w:rsidRDefault="00B21F08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To allow us to grade the severity of complications using different systems we need information describing the treatment of the </w:t>
      </w:r>
      <w:r w:rsidRPr="00D33AAE">
        <w:rPr>
          <w:rFonts w:ascii="Calibri" w:hAnsi="Calibri"/>
          <w:b/>
          <w:i/>
          <w:color w:val="000000"/>
          <w:sz w:val="20"/>
          <w:szCs w:val="20"/>
          <w:lang w:val="en-US"/>
        </w:rPr>
        <w:t xml:space="preserve">most severe complication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the patient developed. The treatment categories are explained defined below: </w:t>
      </w:r>
    </w:p>
    <w:p w14:paraId="7120D6BD" w14:textId="5B9F3A88" w:rsidR="0006406C" w:rsidRDefault="00B21F08" w:rsidP="009D2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Drug therapy, blood transfusion or parenteral nutrition: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please mark ‘yes’ if the patient received any of these treatments because they developed a complication. </w:t>
      </w:r>
    </w:p>
    <w:p w14:paraId="06954EBF" w14:textId="21A44455" w:rsidR="005A3B83" w:rsidRDefault="005A3B83" w:rsidP="009D2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70332C">
        <w:rPr>
          <w:rFonts w:ascii="Calibri" w:hAnsi="Calibri"/>
          <w:b/>
          <w:bCs/>
          <w:color w:val="000000"/>
          <w:sz w:val="20"/>
          <w:szCs w:val="20"/>
          <w:lang w:val="en-US"/>
        </w:rPr>
        <w:t>Drug therapy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 refers to any 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extra 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treatment beyond those expected for the postoperative period. </w:t>
      </w:r>
    </w:p>
    <w:p w14:paraId="3596FC27" w14:textId="77777777" w:rsidR="005A3B83" w:rsidRPr="00D33AAE" w:rsidRDefault="005A3B83" w:rsidP="009D2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</w:p>
    <w:p w14:paraId="13DB15D0" w14:textId="49E97778" w:rsidR="0006406C" w:rsidRPr="00D33AAE" w:rsidRDefault="00B21F08" w:rsidP="009D2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5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Surgery or radiological procedure: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>This refers to surgery in an operating room and not</w:t>
      </w:r>
      <w:r w:rsidR="009D2BE8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minor bedside procedures. An example of a radiological treatment would be ultrasound or CT guided abscess drainage. Please mark ‘yes’ if the patient received any of these because they developed a complication. </w:t>
      </w:r>
    </w:p>
    <w:p w14:paraId="56E0777F" w14:textId="3ABCA543" w:rsidR="0006406C" w:rsidRPr="00D33AAE" w:rsidRDefault="00B21F08" w:rsidP="009D2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6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Critical care admission: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We have defined a critical care unit as a facility </w:t>
      </w:r>
      <w:r w:rsidRPr="00D33AAE">
        <w:rPr>
          <w:rFonts w:ascii="Calibri" w:hAnsi="Calibri"/>
          <w:i/>
          <w:color w:val="000000"/>
          <w:sz w:val="20"/>
          <w:szCs w:val="20"/>
          <w:lang w:val="en-US"/>
        </w:rPr>
        <w:t xml:space="preserve">routinely capable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of admitting patients who require invasive ventilation overnight. This does not mean an individual patient requires ventilation to be admitted to such a unit. Please mark ‘yes’ if the patient was admitted to critical care because they developed a complication. If the patient was already in critical care when the complication developed, please mark ‘yes’ if this resulted in a longer stay in critical care. </w:t>
      </w:r>
    </w:p>
    <w:p w14:paraId="7C55200B" w14:textId="77777777" w:rsidR="0006406C" w:rsidRPr="00D33AAE" w:rsidRDefault="00B21F08" w:rsidP="009D2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Hospital resource use after surgery </w:t>
      </w:r>
    </w:p>
    <w:p w14:paraId="68BB4F30" w14:textId="0282297A" w:rsidR="0006406C" w:rsidRPr="00D33AAE" w:rsidRDefault="00B21F08" w:rsidP="009D2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42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We will collect some basic data to describe the treatment resources patients received after surgery. </w:t>
      </w:r>
    </w:p>
    <w:p w14:paraId="74D9D4C1" w14:textId="62B84D53" w:rsidR="0006406C" w:rsidRPr="00D33AAE" w:rsidRDefault="00B21F08" w:rsidP="009D2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36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>Hours in Post-</w:t>
      </w:r>
      <w:r w:rsidR="00AD3119" w:rsidRPr="00D33AAE">
        <w:rPr>
          <w:rFonts w:ascii="Calibri" w:hAnsi="Calibri"/>
          <w:b/>
          <w:color w:val="000000"/>
          <w:sz w:val="20"/>
          <w:szCs w:val="20"/>
          <w:lang w:val="en-US"/>
        </w:rPr>
        <w:t>Anesthetic</w:t>
      </w: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 Care Unit after surgery: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>A post-</w:t>
      </w:r>
      <w:r w:rsidR="00AD3119" w:rsidRPr="00D33AAE">
        <w:rPr>
          <w:rFonts w:ascii="Calibri" w:hAnsi="Calibri"/>
          <w:color w:val="000000"/>
          <w:sz w:val="20"/>
          <w:szCs w:val="20"/>
          <w:lang w:val="en-US"/>
        </w:rPr>
        <w:t>anesthetic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 recovery unit is dedicated facility for the care of all patients immediately following surgery under </w:t>
      </w:r>
      <w:r w:rsidR="00AD3119" w:rsidRPr="00D33AAE">
        <w:rPr>
          <w:rFonts w:ascii="Calibri" w:hAnsi="Calibri"/>
          <w:color w:val="000000"/>
          <w:sz w:val="20"/>
          <w:szCs w:val="20"/>
          <w:lang w:val="en-US"/>
        </w:rPr>
        <w:t>anesthesia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. Some patients may stay overnight. Please record the duration of stay in hours. </w:t>
      </w:r>
    </w:p>
    <w:p w14:paraId="63C3D4AA" w14:textId="6B765179" w:rsidR="0006406C" w:rsidRPr="00D33AAE" w:rsidRDefault="00B21F08" w:rsidP="009D2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40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Days in critical care after surgery: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Defined above. Total number of days in critical care within the first 30 days after surgery. May include multiple admissions and planned admission to critical care immediately after surgery. </w:t>
      </w:r>
    </w:p>
    <w:p w14:paraId="6DE81D0D" w14:textId="77777777" w:rsidR="009D2BE8" w:rsidRDefault="00B21F08" w:rsidP="009D2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457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Days in hospital after surgery: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 xml:space="preserve">Total number of days in hospital after surgery. </w:t>
      </w:r>
    </w:p>
    <w:p w14:paraId="6AC274F7" w14:textId="7CAF7D7F" w:rsidR="0006406C" w:rsidRPr="00D33AAE" w:rsidRDefault="00B21F08" w:rsidP="009D2B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1457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D33AAE">
        <w:rPr>
          <w:rFonts w:ascii="Calibri" w:hAnsi="Calibri"/>
          <w:b/>
          <w:color w:val="000000"/>
          <w:sz w:val="20"/>
          <w:szCs w:val="20"/>
          <w:lang w:val="en-US"/>
        </w:rPr>
        <w:t xml:space="preserve">Status at 30 days after surgery: </w:t>
      </w:r>
      <w:r w:rsidRPr="00D33AAE">
        <w:rPr>
          <w:rFonts w:ascii="Calibri" w:hAnsi="Calibri"/>
          <w:color w:val="000000"/>
          <w:sz w:val="20"/>
          <w:szCs w:val="20"/>
          <w:lang w:val="en-US"/>
        </w:rPr>
        <w:t>Did the patient die within 30 days of surgery?</w:t>
      </w:r>
    </w:p>
    <w:p w14:paraId="1864E6EB" w14:textId="77777777" w:rsidR="00D33AAE" w:rsidRPr="009D2BE8" w:rsidRDefault="00D33AAE" w:rsidP="00DA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sectPr w:rsidR="00D33AAE" w:rsidRPr="009D2BE8" w:rsidSect="005B6F42">
      <w:headerReference w:type="default" r:id="rId6"/>
      <w:pgSz w:w="11900" w:h="16820"/>
      <w:pgMar w:top="1620" w:right="1241" w:bottom="768" w:left="130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FFCC" w14:textId="77777777" w:rsidR="00026D23" w:rsidRDefault="00026D23" w:rsidP="00D33AAE">
      <w:pPr>
        <w:spacing w:line="240" w:lineRule="auto"/>
      </w:pPr>
      <w:r>
        <w:separator/>
      </w:r>
    </w:p>
  </w:endnote>
  <w:endnote w:type="continuationSeparator" w:id="0">
    <w:p w14:paraId="7A662049" w14:textId="77777777" w:rsidR="00026D23" w:rsidRDefault="00026D23" w:rsidP="00D3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FE84" w14:textId="77777777" w:rsidR="00026D23" w:rsidRDefault="00026D23" w:rsidP="00D33AAE">
      <w:pPr>
        <w:spacing w:line="240" w:lineRule="auto"/>
      </w:pPr>
      <w:r>
        <w:separator/>
      </w:r>
    </w:p>
  </w:footnote>
  <w:footnote w:type="continuationSeparator" w:id="0">
    <w:p w14:paraId="0A18B97E" w14:textId="77777777" w:rsidR="00026D23" w:rsidRDefault="00026D23" w:rsidP="00D33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F1DB" w14:textId="77777777" w:rsidR="00D33AAE" w:rsidRDefault="00D33AAE">
    <w:pPr>
      <w:pStyle w:val="Cabealho"/>
    </w:pPr>
  </w:p>
  <w:p w14:paraId="323312DA" w14:textId="47401DB9" w:rsidR="00D33AAE" w:rsidRDefault="00D33AAE">
    <w:pPr>
      <w:pStyle w:val="Cabealho"/>
    </w:pPr>
    <w:r>
      <w:rPr>
        <w:noProof/>
        <w:color w:val="000000"/>
      </w:rPr>
      <w:drawing>
        <wp:inline distT="0" distB="0" distL="0" distR="0" wp14:anchorId="6EFF3B48" wp14:editId="50921F95">
          <wp:extent cx="1765300" cy="685800"/>
          <wp:effectExtent l="0" t="0" r="0" b="0"/>
          <wp:docPr id="2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53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E5346C" w14:textId="77777777" w:rsidR="00D33AAE" w:rsidRDefault="00D33A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6C"/>
    <w:rsid w:val="00026D23"/>
    <w:rsid w:val="0006406C"/>
    <w:rsid w:val="000A2744"/>
    <w:rsid w:val="004F19DF"/>
    <w:rsid w:val="005A3B83"/>
    <w:rsid w:val="005B6F42"/>
    <w:rsid w:val="0070332C"/>
    <w:rsid w:val="009D2BE8"/>
    <w:rsid w:val="00AD3119"/>
    <w:rsid w:val="00B21F08"/>
    <w:rsid w:val="00C2015F"/>
    <w:rsid w:val="00D33AAE"/>
    <w:rsid w:val="00D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262A41"/>
  <w15:docId w15:val="{695F1B5E-F057-DE41-A302-2F04FF3C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33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AAE"/>
  </w:style>
  <w:style w:type="paragraph" w:styleId="Rodap">
    <w:name w:val="footer"/>
    <w:basedOn w:val="Normal"/>
    <w:link w:val="RodapChar"/>
    <w:uiPriority w:val="99"/>
    <w:unhideWhenUsed/>
    <w:rsid w:val="00D33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2692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Stefani</cp:lastModifiedBy>
  <cp:revision>4</cp:revision>
  <dcterms:created xsi:type="dcterms:W3CDTF">2022-04-11T01:02:00Z</dcterms:created>
  <dcterms:modified xsi:type="dcterms:W3CDTF">2022-04-11T01:25:00Z</dcterms:modified>
</cp:coreProperties>
</file>